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AC" w:rsidRDefault="00152C76" w:rsidP="00152C76">
      <w:pPr>
        <w:jc w:val="center"/>
      </w:pPr>
      <w:r>
        <w:t>Week 10 Handout</w:t>
      </w:r>
    </w:p>
    <w:p w:rsidR="00152C76" w:rsidRDefault="00152C76" w:rsidP="00152C76">
      <w:pPr>
        <w:jc w:val="center"/>
      </w:pPr>
    </w:p>
    <w:p w:rsidR="00152C76" w:rsidRDefault="00152C76" w:rsidP="00152C76">
      <w:r>
        <w:rPr>
          <w:u w:val="single"/>
        </w:rPr>
        <w:t>Traditional Account</w:t>
      </w:r>
      <w:r>
        <w:t>:</w:t>
      </w:r>
    </w:p>
    <w:p w:rsidR="00152C76" w:rsidRDefault="00152C76" w:rsidP="00152C76">
      <w:r>
        <w:rPr>
          <w:i/>
        </w:rPr>
        <w:t xml:space="preserve">Semantic </w:t>
      </w:r>
      <w:r w:rsidRPr="00152C76">
        <w:rPr>
          <w:b/>
          <w:i/>
        </w:rPr>
        <w:t>status</w:t>
      </w:r>
      <w:r>
        <w:rPr>
          <w:i/>
        </w:rPr>
        <w:t xml:space="preserve"> of claimables:  </w:t>
      </w:r>
      <w:r w:rsidR="002E764B">
        <w:tab/>
      </w:r>
      <w:r w:rsidR="002E764B">
        <w:tab/>
      </w:r>
      <w:r w:rsidR="00E47D91">
        <w:tab/>
      </w:r>
      <w:r>
        <w:t>True/not-True</w:t>
      </w:r>
    </w:p>
    <w:p w:rsidR="00152C76" w:rsidRDefault="00152C76" w:rsidP="00152C76">
      <w:r>
        <w:rPr>
          <w:i/>
        </w:rPr>
        <w:t xml:space="preserve">Persons’ </w:t>
      </w:r>
      <w:r w:rsidRPr="00152C76">
        <w:rPr>
          <w:b/>
          <w:i/>
        </w:rPr>
        <w:t>attitudes</w:t>
      </w:r>
      <w:r>
        <w:rPr>
          <w:i/>
        </w:rPr>
        <w:t xml:space="preserve"> towards claimables: </w:t>
      </w:r>
      <w:r w:rsidR="002E764B">
        <w:rPr>
          <w:i/>
        </w:rPr>
        <w:tab/>
      </w:r>
      <w:r w:rsidR="00E47D91">
        <w:rPr>
          <w:i/>
        </w:rPr>
        <w:tab/>
      </w:r>
      <w:r>
        <w:t>Taking-true/Taking not-True</w:t>
      </w:r>
    </w:p>
    <w:p w:rsidR="00152C76" w:rsidRDefault="00BB4CE2" w:rsidP="00152C76">
      <w:r w:rsidRPr="00BB4CE2">
        <w:rPr>
          <w:i/>
        </w:rPr>
        <w:t xml:space="preserve">Semantic </w:t>
      </w:r>
      <w:r>
        <w:rPr>
          <w:b/>
          <w:i/>
        </w:rPr>
        <w:t>c</w:t>
      </w:r>
      <w:r w:rsidR="00E47D91" w:rsidRPr="00BB4CE2">
        <w:rPr>
          <w:b/>
          <w:i/>
        </w:rPr>
        <w:t>ontent</w:t>
      </w:r>
      <w:r w:rsidR="00E47D91">
        <w:rPr>
          <w:i/>
        </w:rPr>
        <w:t xml:space="preserve"> of c</w:t>
      </w:r>
      <w:r>
        <w:rPr>
          <w:i/>
        </w:rPr>
        <w:t>laimables</w:t>
      </w:r>
      <w:r w:rsidR="000A194A">
        <w:rPr>
          <w:i/>
        </w:rPr>
        <w:t xml:space="preserve"> </w:t>
      </w:r>
      <w:r w:rsidR="002E764B">
        <w:rPr>
          <w:i/>
        </w:rPr>
        <w:t>defined by</w:t>
      </w:r>
      <w:r w:rsidR="002E764B">
        <w:t xml:space="preserve">: </w:t>
      </w:r>
      <w:r w:rsidR="00152C76">
        <w:rPr>
          <w:i/>
        </w:rPr>
        <w:t xml:space="preserve"> </w:t>
      </w:r>
      <w:r>
        <w:rPr>
          <w:i/>
        </w:rPr>
        <w:t xml:space="preserve"> </w:t>
      </w:r>
      <w:r w:rsidR="002E764B">
        <w:tab/>
      </w:r>
      <w:r>
        <w:tab/>
      </w:r>
      <w:r w:rsidR="002E764B">
        <w:t>Truth conditions</w:t>
      </w:r>
    </w:p>
    <w:p w:rsidR="002E764B" w:rsidRDefault="00BB4CE2" w:rsidP="00152C76">
      <w:r>
        <w:t>So attitudes and content defined by the basic status: truth.</w:t>
      </w:r>
    </w:p>
    <w:p w:rsidR="00BB4CE2" w:rsidRDefault="00BB4CE2" w:rsidP="00152C76"/>
    <w:p w:rsidR="00E47D91" w:rsidRDefault="00E47D91" w:rsidP="00E47D91">
      <w:r w:rsidRPr="00F66E12">
        <w:rPr>
          <w:i/>
        </w:rPr>
        <w:t>MIE</w:t>
      </w:r>
      <w:r>
        <w:t xml:space="preserve"> has </w:t>
      </w:r>
      <w:r>
        <w:rPr>
          <w:i/>
        </w:rPr>
        <w:t>two</w:t>
      </w:r>
      <w:r>
        <w:t xml:space="preserve"> elements for each item that tradition has </w:t>
      </w:r>
      <w:r>
        <w:rPr>
          <w:i/>
        </w:rPr>
        <w:t>one</w:t>
      </w:r>
      <w:r>
        <w:t xml:space="preserve"> for: status, attitude, and content.</w:t>
      </w:r>
    </w:p>
    <w:p w:rsidR="00E47D91" w:rsidRDefault="00E47D91" w:rsidP="00E47D91">
      <w:r>
        <w:t xml:space="preserve">Status is </w:t>
      </w:r>
      <w:r>
        <w:rPr>
          <w:i/>
        </w:rPr>
        <w:t>person</w:t>
      </w:r>
      <w:r>
        <w:t xml:space="preserve">- or </w:t>
      </w:r>
      <w:r>
        <w:rPr>
          <w:i/>
        </w:rPr>
        <w:t>interlocutor</w:t>
      </w:r>
      <w:r>
        <w:t>-relative.</w:t>
      </w:r>
    </w:p>
    <w:p w:rsidR="00E47D91" w:rsidRDefault="00E47D91" w:rsidP="00152C76"/>
    <w:p w:rsidR="002E764B" w:rsidRDefault="00965D7B" w:rsidP="00152C76">
      <w:r w:rsidRPr="00965D7B">
        <w:rPr>
          <w:u w:val="single"/>
        </w:rPr>
        <w:t>MIE Account</w:t>
      </w:r>
      <w:r>
        <w:t>:</w:t>
      </w:r>
    </w:p>
    <w:p w:rsidR="00965D7B" w:rsidRPr="000A194A" w:rsidRDefault="00965D7B" w:rsidP="00152C76">
      <w:r>
        <w:rPr>
          <w:i/>
        </w:rPr>
        <w:t xml:space="preserve">Semantic </w:t>
      </w:r>
      <w:r w:rsidRPr="00152C76">
        <w:rPr>
          <w:b/>
          <w:i/>
        </w:rPr>
        <w:t>status</w:t>
      </w:r>
      <w:r>
        <w:rPr>
          <w:i/>
        </w:rPr>
        <w:t xml:space="preserve"> of claimables:</w:t>
      </w:r>
      <w:r w:rsidR="000A194A">
        <w:tab/>
      </w:r>
      <w:r w:rsidR="000A194A">
        <w:tab/>
        <w:t>Committed/not</w:t>
      </w:r>
      <w:r w:rsidR="000A194A">
        <w:tab/>
        <w:t>Entitled/not</w:t>
      </w:r>
    </w:p>
    <w:p w:rsidR="00965D7B" w:rsidRPr="000A194A" w:rsidRDefault="00965D7B" w:rsidP="00152C76">
      <w:r>
        <w:rPr>
          <w:i/>
        </w:rPr>
        <w:t xml:space="preserve">Persons’ </w:t>
      </w:r>
      <w:r w:rsidRPr="00152C76">
        <w:rPr>
          <w:b/>
          <w:i/>
        </w:rPr>
        <w:t>attitudes</w:t>
      </w:r>
      <w:r>
        <w:rPr>
          <w:i/>
        </w:rPr>
        <w:t xml:space="preserve"> towards claimables:</w:t>
      </w:r>
      <w:r w:rsidR="000A194A">
        <w:tab/>
        <w:t>Attribute status</w:t>
      </w:r>
      <w:r w:rsidR="000A194A">
        <w:tab/>
        <w:t>Acknowledge status</w:t>
      </w:r>
    </w:p>
    <w:p w:rsidR="00965D7B" w:rsidRDefault="00965D7B" w:rsidP="00152C76">
      <w:r>
        <w:rPr>
          <w:i/>
        </w:rPr>
        <w:t>Claimables semantically</w:t>
      </w:r>
      <w:r w:rsidR="000A194A">
        <w:rPr>
          <w:i/>
        </w:rPr>
        <w:t xml:space="preserve"> </w:t>
      </w:r>
      <w:r>
        <w:rPr>
          <w:i/>
        </w:rPr>
        <w:t>defined by</w:t>
      </w:r>
      <w:r>
        <w:t>:</w:t>
      </w:r>
      <w:r w:rsidR="000A194A">
        <w:tab/>
      </w:r>
      <w:r w:rsidR="000A194A">
        <w:tab/>
        <w:t>Circumstances</w:t>
      </w:r>
      <w:r w:rsidR="000A194A">
        <w:tab/>
      </w:r>
      <w:r w:rsidR="000A194A">
        <w:tab/>
        <w:t>Consequences</w:t>
      </w:r>
    </w:p>
    <w:p w:rsidR="000A194A" w:rsidRDefault="0058128B" w:rsidP="00152C76">
      <w:r>
        <w:t>This last is inferentialism.</w:t>
      </w:r>
    </w:p>
    <w:p w:rsidR="000B6D14" w:rsidRDefault="000B6D14" w:rsidP="000B6D14">
      <w:r>
        <w:t xml:space="preserve">These yield an 8-fold botanization, of, e.g., circumstances licensing attribution of an entitlement to </w:t>
      </w:r>
      <w:r>
        <w:rPr>
          <w:i/>
        </w:rPr>
        <w:t>p</w:t>
      </w:r>
      <w:r>
        <w:t xml:space="preserve">, or consequences of acknowledging a commitment to </w:t>
      </w:r>
      <w:r>
        <w:rPr>
          <w:i/>
        </w:rPr>
        <w:t>p</w:t>
      </w:r>
      <w:r>
        <w:t>.</w:t>
      </w:r>
    </w:p>
    <w:tbl>
      <w:tblPr>
        <w:tblStyle w:val="TableGrid"/>
        <w:tblW w:w="5442" w:type="dxa"/>
        <w:tblInd w:w="1435" w:type="dxa"/>
        <w:tblLook w:val="04A0" w:firstRow="1" w:lastRow="0" w:firstColumn="1" w:lastColumn="0" w:noHBand="0" w:noVBand="1"/>
      </w:tblPr>
      <w:tblGrid>
        <w:gridCol w:w="2426"/>
        <w:gridCol w:w="1586"/>
        <w:gridCol w:w="1430"/>
      </w:tblGrid>
      <w:tr w:rsidR="002179E5" w:rsidTr="000B6D14">
        <w:trPr>
          <w:trHeight w:val="286"/>
        </w:trPr>
        <w:tc>
          <w:tcPr>
            <w:tcW w:w="0" w:type="auto"/>
          </w:tcPr>
          <w:p w:rsidR="002179E5" w:rsidRDefault="002179E5" w:rsidP="00152C76">
            <w:r>
              <w:t xml:space="preserve">                     Circs</w:t>
            </w:r>
          </w:p>
          <w:p w:rsidR="002179E5" w:rsidRDefault="002179E5" w:rsidP="00152C76">
            <w:r>
              <w:t xml:space="preserve">                     Upstream</w:t>
            </w:r>
          </w:p>
          <w:p w:rsidR="002179E5" w:rsidRDefault="002179E5" w:rsidP="00152C76">
            <w:r>
              <w:t>Cons</w:t>
            </w:r>
          </w:p>
          <w:p w:rsidR="002179E5" w:rsidRDefault="002179E5" w:rsidP="00152C76">
            <w:r>
              <w:t>Downstream</w:t>
            </w:r>
          </w:p>
        </w:tc>
        <w:tc>
          <w:tcPr>
            <w:tcW w:w="0" w:type="auto"/>
          </w:tcPr>
          <w:p w:rsidR="002179E5" w:rsidRPr="002179E5" w:rsidRDefault="002179E5" w:rsidP="00152C76">
            <w:pPr>
              <w:rPr>
                <w:b/>
              </w:rPr>
            </w:pPr>
            <w:r w:rsidRPr="002179E5">
              <w:rPr>
                <w:b/>
              </w:rPr>
              <w:t>Commitment</w:t>
            </w:r>
          </w:p>
        </w:tc>
        <w:tc>
          <w:tcPr>
            <w:tcW w:w="1430" w:type="dxa"/>
          </w:tcPr>
          <w:p w:rsidR="002179E5" w:rsidRPr="002179E5" w:rsidRDefault="002179E5" w:rsidP="00152C76">
            <w:pPr>
              <w:rPr>
                <w:b/>
              </w:rPr>
            </w:pPr>
            <w:r w:rsidRPr="002179E5">
              <w:rPr>
                <w:b/>
              </w:rPr>
              <w:t>Entitlement</w:t>
            </w:r>
          </w:p>
        </w:tc>
      </w:tr>
      <w:tr w:rsidR="002179E5" w:rsidTr="000B6D14">
        <w:trPr>
          <w:trHeight w:val="295"/>
        </w:trPr>
        <w:tc>
          <w:tcPr>
            <w:tcW w:w="0" w:type="auto"/>
          </w:tcPr>
          <w:p w:rsidR="002179E5" w:rsidRPr="002179E5" w:rsidRDefault="002179E5" w:rsidP="00152C76">
            <w:pPr>
              <w:rPr>
                <w:b/>
              </w:rPr>
            </w:pPr>
            <w:r w:rsidRPr="002179E5">
              <w:rPr>
                <w:b/>
              </w:rPr>
              <w:t>Attributed</w:t>
            </w:r>
          </w:p>
        </w:tc>
        <w:tc>
          <w:tcPr>
            <w:tcW w:w="0" w:type="auto"/>
          </w:tcPr>
          <w:p w:rsidR="002179E5" w:rsidRDefault="002179E5" w:rsidP="00152C76"/>
        </w:tc>
        <w:tc>
          <w:tcPr>
            <w:tcW w:w="1430" w:type="dxa"/>
          </w:tcPr>
          <w:p w:rsidR="002179E5" w:rsidRDefault="002179E5" w:rsidP="00152C76"/>
        </w:tc>
      </w:tr>
      <w:tr w:rsidR="002179E5" w:rsidTr="000B6D14">
        <w:trPr>
          <w:trHeight w:val="286"/>
        </w:trPr>
        <w:tc>
          <w:tcPr>
            <w:tcW w:w="0" w:type="auto"/>
          </w:tcPr>
          <w:p w:rsidR="002179E5" w:rsidRPr="002179E5" w:rsidRDefault="002179E5" w:rsidP="00152C76">
            <w:pPr>
              <w:rPr>
                <w:b/>
              </w:rPr>
            </w:pPr>
            <w:r w:rsidRPr="002179E5">
              <w:rPr>
                <w:b/>
              </w:rPr>
              <w:t>Acknowledged</w:t>
            </w:r>
          </w:p>
        </w:tc>
        <w:tc>
          <w:tcPr>
            <w:tcW w:w="0" w:type="auto"/>
          </w:tcPr>
          <w:p w:rsidR="002179E5" w:rsidRDefault="002179E5" w:rsidP="00152C76"/>
        </w:tc>
        <w:tc>
          <w:tcPr>
            <w:tcW w:w="1430" w:type="dxa"/>
          </w:tcPr>
          <w:p w:rsidR="002179E5" w:rsidRDefault="002179E5" w:rsidP="00152C76"/>
        </w:tc>
      </w:tr>
    </w:tbl>
    <w:p w:rsidR="005A66B4" w:rsidRDefault="00D931C8" w:rsidP="005A66B4">
      <w:pPr>
        <w:pStyle w:val="ListParagraph"/>
        <w:ind w:left="0"/>
      </w:pPr>
      <w:r>
        <w:t xml:space="preserve"> </w:t>
      </w:r>
    </w:p>
    <w:p w:rsidR="000A194A" w:rsidRDefault="00D931C8" w:rsidP="00D931C8">
      <w:pPr>
        <w:pStyle w:val="ListParagraph"/>
        <w:numPr>
          <w:ilvl w:val="0"/>
          <w:numId w:val="2"/>
        </w:numPr>
        <w:ind w:left="0" w:firstLine="0"/>
      </w:pPr>
      <w:r w:rsidRPr="00B03EA3">
        <w:rPr>
          <w:u w:val="single"/>
        </w:rPr>
        <w:t>The social-perspectival distinction between attitudes of attributing and acknowledging</w:t>
      </w:r>
      <w:r w:rsidR="00B03EA3">
        <w:rPr>
          <w:u w:val="single"/>
        </w:rPr>
        <w:t>:</w:t>
      </w:r>
      <w:r>
        <w:t xml:space="preserve"> is appealed to in</w:t>
      </w:r>
    </w:p>
    <w:p w:rsidR="00D931C8" w:rsidRDefault="00D931C8" w:rsidP="00D931C8">
      <w:pPr>
        <w:pStyle w:val="ListParagraph"/>
        <w:numPr>
          <w:ilvl w:val="0"/>
          <w:numId w:val="3"/>
        </w:numPr>
        <w:ind w:left="0" w:firstLine="0"/>
      </w:pPr>
      <w:r>
        <w:t xml:space="preserve">Understanding the role of the </w:t>
      </w:r>
      <w:r w:rsidRPr="001D34B7">
        <w:rPr>
          <w:b/>
        </w:rPr>
        <w:t>truth</w:t>
      </w:r>
      <w:r>
        <w:t xml:space="preserve"> condition in the deontic scorekeeping version of the JTB account of knowledge attribution.</w:t>
      </w:r>
    </w:p>
    <w:p w:rsidR="00D931C8" w:rsidRDefault="00D931C8" w:rsidP="00D931C8">
      <w:pPr>
        <w:pStyle w:val="ListParagraph"/>
        <w:numPr>
          <w:ilvl w:val="0"/>
          <w:numId w:val="3"/>
        </w:numPr>
        <w:ind w:left="0" w:firstLine="0"/>
      </w:pPr>
      <w:r>
        <w:t xml:space="preserve">Explaining propositional attitude ascriptions.  In asserting an ascription one is doing two things: </w:t>
      </w:r>
      <w:r>
        <w:rPr>
          <w:i/>
        </w:rPr>
        <w:t>attributing</w:t>
      </w:r>
      <w:r>
        <w:t xml:space="preserve"> one commitment and </w:t>
      </w:r>
      <w:r>
        <w:rPr>
          <w:i/>
        </w:rPr>
        <w:t>acknowledging</w:t>
      </w:r>
      <w:r>
        <w:t xml:space="preserve"> another.</w:t>
      </w:r>
    </w:p>
    <w:p w:rsidR="0058128B" w:rsidRDefault="0058128B" w:rsidP="0058128B">
      <w:pPr>
        <w:pStyle w:val="ListParagraph"/>
        <w:numPr>
          <w:ilvl w:val="0"/>
          <w:numId w:val="3"/>
        </w:numPr>
        <w:ind w:left="0" w:firstLine="0"/>
      </w:pPr>
      <w:r>
        <w:rPr>
          <w:i/>
        </w:rPr>
        <w:t>S</w:t>
      </w:r>
      <w:r w:rsidRPr="0058128B">
        <w:rPr>
          <w:i/>
        </w:rPr>
        <w:t>emantically</w:t>
      </w:r>
      <w:r>
        <w:t>,</w:t>
      </w:r>
      <w:r>
        <w:t xml:space="preserve">according to inferentialism, the </w:t>
      </w:r>
      <w:r w:rsidRPr="0058128B">
        <w:rPr>
          <w:i/>
        </w:rPr>
        <w:t>content</w:t>
      </w:r>
      <w:r>
        <w:t xml:space="preserve"> of any claim is a matter of its inferential role, and what follows from and is evidence for or against a claim depends on the inferential context of collaterial premises (auxiliary hypotheses) one conjoins it with to extract them.  </w:t>
      </w:r>
    </w:p>
    <w:p w:rsidR="0058128B" w:rsidRDefault="0058128B" w:rsidP="0058128B">
      <w:r>
        <w:t>In the case of the content of the ascrib</w:t>
      </w:r>
      <w:r w:rsidRPr="0058128B">
        <w:rPr>
          <w:i/>
        </w:rPr>
        <w:t>ed</w:t>
      </w:r>
      <w:r>
        <w:t xml:space="preserve"> claim, there are two candidates: collateral commitments of the ascrib</w:t>
      </w:r>
      <w:r w:rsidRPr="0058128B">
        <w:rPr>
          <w:i/>
        </w:rPr>
        <w:t>ee</w:t>
      </w:r>
      <w:r>
        <w:t xml:space="preserve"> and collateral commitments of the ascrib</w:t>
      </w:r>
      <w:r w:rsidRPr="0058128B">
        <w:rPr>
          <w:i/>
        </w:rPr>
        <w:t>er</w:t>
      </w:r>
      <w:r>
        <w:t xml:space="preserve">.  That is, one can use either collateral commitments that are </w:t>
      </w:r>
      <w:r w:rsidRPr="0058128B">
        <w:rPr>
          <w:i/>
        </w:rPr>
        <w:t>attributed</w:t>
      </w:r>
      <w:r>
        <w:t xml:space="preserve"> or those that are </w:t>
      </w:r>
      <w:r w:rsidRPr="0058128B">
        <w:rPr>
          <w:i/>
        </w:rPr>
        <w:t>acknowledged</w:t>
      </w:r>
      <w:r>
        <w:t xml:space="preserve">.  </w:t>
      </w:r>
    </w:p>
    <w:p w:rsidR="0058128B" w:rsidRDefault="0058128B" w:rsidP="0058128B">
      <w:pPr>
        <w:pStyle w:val="ListParagraph"/>
        <w:numPr>
          <w:ilvl w:val="0"/>
          <w:numId w:val="3"/>
        </w:numPr>
        <w:ind w:left="360"/>
      </w:pPr>
      <w:r>
        <w:t xml:space="preserve">This difference is now made explicit in the ‘of’/’that’ regimentation of </w:t>
      </w:r>
      <w:r w:rsidRPr="0058128B">
        <w:rPr>
          <w:i/>
        </w:rPr>
        <w:t>de dicto/de re</w:t>
      </w:r>
      <w:r>
        <w:t>.  And we see that we can use different backgrounds for different parts of the ascribed claim.</w:t>
      </w:r>
    </w:p>
    <w:p w:rsidR="001D34B7" w:rsidRDefault="001D34B7" w:rsidP="0058128B">
      <w:pPr>
        <w:pStyle w:val="ListParagraph"/>
        <w:numPr>
          <w:ilvl w:val="0"/>
          <w:numId w:val="3"/>
        </w:numPr>
        <w:ind w:left="360"/>
      </w:pPr>
      <w:r>
        <w:t xml:space="preserve">This explicit ascriptional expression of the distinction of social perspective between attitudes of attributing and acknowledging statuses is the home language-game of </w:t>
      </w:r>
      <w:r>
        <w:rPr>
          <w:b/>
        </w:rPr>
        <w:t xml:space="preserve">representational </w:t>
      </w:r>
      <w:r>
        <w:t>idioms, which express it.</w:t>
      </w:r>
    </w:p>
    <w:p w:rsidR="001D34B7" w:rsidRDefault="001D34B7" w:rsidP="0058128B">
      <w:pPr>
        <w:pStyle w:val="ListParagraph"/>
        <w:numPr>
          <w:ilvl w:val="0"/>
          <w:numId w:val="3"/>
        </w:numPr>
        <w:ind w:left="360"/>
      </w:pPr>
      <w:r>
        <w:lastRenderedPageBreak/>
        <w:t>This is the connection between truth and representation.</w:t>
      </w:r>
    </w:p>
    <w:p w:rsidR="00D931C8" w:rsidRDefault="00697FA3" w:rsidP="001D34B7">
      <w:pPr>
        <w:pStyle w:val="ListParagraph"/>
        <w:numPr>
          <w:ilvl w:val="0"/>
          <w:numId w:val="3"/>
        </w:numPr>
        <w:ind w:left="0" w:firstLine="0"/>
      </w:pPr>
      <w:r>
        <w:t xml:space="preserve">Further, </w:t>
      </w:r>
      <w:r w:rsidRPr="00697FA3">
        <w:rPr>
          <w:i/>
        </w:rPr>
        <w:t>anaphora</w:t>
      </w:r>
      <w:r>
        <w:t xml:space="preserve"> </w:t>
      </w:r>
      <w:r>
        <w:t xml:space="preserve">(a further structure in the ISA—inference, substitution, anaphora—semantic structure) </w:t>
      </w:r>
      <w:r>
        <w:t>plays an essential role: the interpersonal anaphora between ascribee and ascriber is reflected and expressed in the intrasentential ascription-structural anaphora.</w:t>
      </w:r>
    </w:p>
    <w:p w:rsidR="00755F32" w:rsidRDefault="00755F32" w:rsidP="00755F32">
      <w:pPr>
        <w:pStyle w:val="ListParagraph"/>
        <w:numPr>
          <w:ilvl w:val="0"/>
          <w:numId w:val="3"/>
        </w:numPr>
        <w:ind w:left="0" w:firstLine="0"/>
      </w:pPr>
      <w:r>
        <w:t xml:space="preserve">Note </w:t>
      </w:r>
      <w:r w:rsidR="003D1EEE">
        <w:t>h</w:t>
      </w:r>
      <w:r>
        <w:t xml:space="preserve">ow prosentential account uses anaphora to solve </w:t>
      </w:r>
      <w:r w:rsidRPr="003D1EEE">
        <w:rPr>
          <w:i/>
        </w:rPr>
        <w:t>Frege-Geach embedding problem</w:t>
      </w:r>
      <w:r>
        <w:t>.  "That's interesting--and it's true.". Are agreeing</w:t>
      </w:r>
      <w:r>
        <w:t xml:space="preserve"> (that </w:t>
      </w:r>
      <w:bookmarkStart w:id="0" w:name="_GoBack"/>
      <w:bookmarkEnd w:id="0"/>
      <w:r>
        <w:t xml:space="preserve">is what one is </w:t>
      </w:r>
      <w:r>
        <w:rPr>
          <w:i/>
        </w:rPr>
        <w:t>doing</w:t>
      </w:r>
      <w:r>
        <w:t>)</w:t>
      </w:r>
      <w:r>
        <w:t>, but embeddable content (if that's true...)</w:t>
      </w:r>
      <w:r>
        <w:t xml:space="preserve">, what one is </w:t>
      </w:r>
      <w:r>
        <w:rPr>
          <w:i/>
        </w:rPr>
        <w:t>saying</w:t>
      </w:r>
      <w:r>
        <w:t>,</w:t>
      </w:r>
      <w:r>
        <w:t xml:space="preserve"> is inherited</w:t>
      </w:r>
      <w:r>
        <w:t xml:space="preserve"> from anaphoric antecedent</w:t>
      </w:r>
      <w:r>
        <w:t>.</w:t>
      </w:r>
    </w:p>
    <w:p w:rsidR="00D931C8" w:rsidRDefault="00D931C8" w:rsidP="00D931C8">
      <w:pPr>
        <w:pStyle w:val="ListParagraph"/>
        <w:ind w:left="0"/>
      </w:pPr>
    </w:p>
    <w:p w:rsidR="00D931C8" w:rsidRDefault="00971E51" w:rsidP="00D931C8">
      <w:pPr>
        <w:pStyle w:val="ListParagraph"/>
        <w:numPr>
          <w:ilvl w:val="0"/>
          <w:numId w:val="2"/>
        </w:numPr>
        <w:ind w:left="0" w:firstLine="0"/>
      </w:pPr>
      <w:r w:rsidRPr="00B03EA3">
        <w:rPr>
          <w:u w:val="single"/>
        </w:rPr>
        <w:t xml:space="preserve">The distinction of two </w:t>
      </w:r>
      <w:r w:rsidRPr="00B03EA3">
        <w:rPr>
          <w:i/>
          <w:u w:val="single"/>
        </w:rPr>
        <w:t>statuses</w:t>
      </w:r>
      <w:r w:rsidRPr="00B03EA3">
        <w:rPr>
          <w:u w:val="single"/>
        </w:rPr>
        <w:t>, commitment and entitlement</w:t>
      </w:r>
      <w:r>
        <w:t>:</w:t>
      </w:r>
    </w:p>
    <w:p w:rsidR="00971E51" w:rsidRDefault="00971E51" w:rsidP="00971E51">
      <w:pPr>
        <w:pStyle w:val="ListParagraph"/>
        <w:numPr>
          <w:ilvl w:val="0"/>
          <w:numId w:val="5"/>
        </w:numPr>
        <w:ind w:left="0" w:firstLine="0"/>
      </w:pPr>
      <w:r>
        <w:t>Is needed for anyting recognizable as a practice of giving and asking for reasons.</w:t>
      </w:r>
    </w:p>
    <w:p w:rsidR="00971E51" w:rsidRDefault="00971E51" w:rsidP="00971E51">
      <w:pPr>
        <w:pStyle w:val="ListParagraph"/>
        <w:numPr>
          <w:ilvl w:val="0"/>
          <w:numId w:val="5"/>
        </w:numPr>
        <w:ind w:left="0" w:firstLine="0"/>
      </w:pPr>
      <w:r>
        <w:t>Underwrites 3 kinds of broadly inferential relations among claimables.</w:t>
      </w:r>
    </w:p>
    <w:p w:rsidR="00971E51" w:rsidRDefault="00971E51" w:rsidP="00971E51">
      <w:pPr>
        <w:pStyle w:val="ListParagraph"/>
        <w:numPr>
          <w:ilvl w:val="0"/>
          <w:numId w:val="5"/>
        </w:numPr>
        <w:ind w:left="0" w:firstLine="0"/>
      </w:pPr>
      <w:r>
        <w:t>As interlocutor-relative (dialogical, not monological), raise the question whether claims are given content that is about how things are, not about who is committed or entitled to what.</w:t>
      </w:r>
    </w:p>
    <w:p w:rsidR="00971E51" w:rsidRDefault="00971E51" w:rsidP="00971E51">
      <w:pPr>
        <w:pStyle w:val="ListParagraph"/>
        <w:numPr>
          <w:ilvl w:val="0"/>
          <w:numId w:val="5"/>
        </w:numPr>
        <w:ind w:left="0" w:firstLine="0"/>
      </w:pPr>
      <w:r>
        <w:t xml:space="preserve">Can </w:t>
      </w:r>
      <w:r>
        <w:rPr>
          <w:i/>
        </w:rPr>
        <w:t>prove</w:t>
      </w:r>
      <w:r>
        <w:t xml:space="preserve"> that content articulated in terms of these statuses does not collapse to content concerning attitudes or statuses.  These are the </w:t>
      </w:r>
      <w:r w:rsidRPr="00A06AE0">
        <w:rPr>
          <w:b/>
        </w:rPr>
        <w:t>Objectivity Proofs</w:t>
      </w:r>
      <w:r>
        <w:t>.</w:t>
      </w:r>
    </w:p>
    <w:p w:rsidR="0077285A" w:rsidRPr="005A66B4" w:rsidRDefault="0077285A" w:rsidP="0077285A">
      <w:pPr>
        <w:pStyle w:val="ListParagraph"/>
        <w:ind w:left="0"/>
      </w:pPr>
      <w:r>
        <w:t>Can appeal to incompatibilities, or to commitment consequences.</w:t>
      </w:r>
      <w:r w:rsidR="005A66B4">
        <w:t xml:space="preserve">  These distinguish the contents of OED non-ascriptional claims from the contents of </w:t>
      </w:r>
      <w:r w:rsidR="005A66B4">
        <w:rPr>
          <w:i/>
        </w:rPr>
        <w:t>any</w:t>
      </w:r>
      <w:r w:rsidR="005A66B4">
        <w:t xml:space="preserve"> ascriptions specifying what </w:t>
      </w:r>
      <w:r w:rsidR="005A66B4">
        <w:rPr>
          <w:i/>
        </w:rPr>
        <w:t>anyone</w:t>
      </w:r>
      <w:r w:rsidR="005A66B4">
        <w:t xml:space="preserve"> or </w:t>
      </w:r>
      <w:r w:rsidR="005A66B4">
        <w:rPr>
          <w:i/>
        </w:rPr>
        <w:t>everyone</w:t>
      </w:r>
      <w:r w:rsidR="005A66B4">
        <w:t xml:space="preserve"> is committed or entitled to.  Contra Peirce and Wright, or Rortyan pragmatism.</w:t>
      </w:r>
    </w:p>
    <w:p w:rsidR="00D931C8" w:rsidRDefault="00D931C8" w:rsidP="00D931C8">
      <w:pPr>
        <w:pStyle w:val="ListParagraph"/>
        <w:ind w:left="0"/>
      </w:pPr>
    </w:p>
    <w:p w:rsidR="00E00D30" w:rsidRPr="00E00D30" w:rsidRDefault="00E00D30" w:rsidP="00E00D30">
      <w:pPr>
        <w:pStyle w:val="ListParagraph"/>
        <w:ind w:left="0"/>
        <w:rPr>
          <w:b/>
          <w:u w:val="single"/>
        </w:rPr>
      </w:pPr>
      <w:r w:rsidRPr="00E00D30">
        <w:rPr>
          <w:b/>
          <w:i/>
        </w:rPr>
        <w:t>E</w:t>
      </w:r>
      <w:r w:rsidRPr="00E00D30">
        <w:rPr>
          <w:b/>
          <w:i/>
        </w:rPr>
        <w:t xml:space="preserve">pistemically strong de re </w:t>
      </w:r>
      <w:r w:rsidRPr="00E00D30">
        <w:rPr>
          <w:b/>
          <w:i/>
          <w:u w:val="single"/>
        </w:rPr>
        <w:t>beliefs</w:t>
      </w:r>
      <w:r w:rsidRPr="00E00D30">
        <w:rPr>
          <w:b/>
        </w:rPr>
        <w:t xml:space="preserve">, as opposed to </w:t>
      </w:r>
      <w:r w:rsidRPr="00E00D30">
        <w:rPr>
          <w:b/>
          <w:i/>
        </w:rPr>
        <w:t>denotationally</w:t>
      </w:r>
      <w:r w:rsidRPr="00E00D30">
        <w:rPr>
          <w:b/>
        </w:rPr>
        <w:t xml:space="preserve"> </w:t>
      </w:r>
      <w:r w:rsidRPr="00E00D30">
        <w:rPr>
          <w:b/>
          <w:i/>
        </w:rPr>
        <w:t>de re</w:t>
      </w:r>
      <w:r w:rsidRPr="00E00D30">
        <w:rPr>
          <w:b/>
          <w:i/>
        </w:rPr>
        <w:t xml:space="preserve"> </w:t>
      </w:r>
      <w:r w:rsidRPr="00E00D30">
        <w:rPr>
          <w:b/>
          <w:i/>
          <w:u w:val="single"/>
        </w:rPr>
        <w:t>ascriptions</w:t>
      </w:r>
      <w:r w:rsidRPr="00E00D30">
        <w:rPr>
          <w:b/>
          <w:u w:val="single"/>
        </w:rPr>
        <w:t>:</w:t>
      </w:r>
    </w:p>
    <w:p w:rsidR="00E00D30" w:rsidRDefault="00AB557F" w:rsidP="00D931C8">
      <w:pPr>
        <w:pStyle w:val="ListParagraph"/>
        <w:ind w:left="0"/>
      </w:pPr>
      <w:r>
        <w:t>Here there are two principle phenomena:</w:t>
      </w:r>
    </w:p>
    <w:p w:rsidR="00AB557F" w:rsidRDefault="00AB557F" w:rsidP="00620465">
      <w:pPr>
        <w:pStyle w:val="ListParagraph"/>
        <w:numPr>
          <w:ilvl w:val="0"/>
          <w:numId w:val="6"/>
        </w:numPr>
        <w:ind w:left="0" w:firstLine="0"/>
      </w:pPr>
      <w:r>
        <w:t>The modal rigidity that distinguishes the use of proper names from that of definite</w:t>
      </w:r>
      <w:r w:rsidR="00620465">
        <w:t xml:space="preserve"> </w:t>
      </w:r>
      <w:r>
        <w:t>descriptions; and</w:t>
      </w:r>
    </w:p>
    <w:p w:rsidR="00AB557F" w:rsidRDefault="00AB557F" w:rsidP="00620465">
      <w:pPr>
        <w:pStyle w:val="ListParagraph"/>
        <w:numPr>
          <w:ilvl w:val="0"/>
          <w:numId w:val="6"/>
        </w:numPr>
        <w:ind w:left="0" w:firstLine="0"/>
      </w:pPr>
      <w:r>
        <w:t>The “essential indexical” argument of Perry, Lewis, and Anscombe.</w:t>
      </w:r>
    </w:p>
    <w:p w:rsidR="00AB557F" w:rsidRDefault="00AB557F" w:rsidP="00D931C8">
      <w:pPr>
        <w:pStyle w:val="ListParagraph"/>
        <w:ind w:left="0"/>
      </w:pPr>
    </w:p>
    <w:p w:rsidR="00D931C8" w:rsidRDefault="0036641D" w:rsidP="00D931C8">
      <w:pPr>
        <w:pStyle w:val="ListParagraph"/>
        <w:numPr>
          <w:ilvl w:val="0"/>
          <w:numId w:val="2"/>
        </w:numPr>
        <w:ind w:left="0" w:firstLine="0"/>
      </w:pPr>
      <w:r w:rsidRPr="00B03EA3">
        <w:rPr>
          <w:u w:val="single"/>
        </w:rPr>
        <w:t>Modal rigi</w:t>
      </w:r>
      <w:r w:rsidR="00AB557F" w:rsidRPr="00B03EA3">
        <w:rPr>
          <w:u w:val="single"/>
        </w:rPr>
        <w:t>dity is an anaphoric phenomenon</w:t>
      </w:r>
      <w:r w:rsidR="00AB557F">
        <w:t>.</w:t>
      </w:r>
    </w:p>
    <w:p w:rsidR="00DC2D00" w:rsidRDefault="00DC2D00" w:rsidP="00DC2D00">
      <w:pPr>
        <w:pStyle w:val="ListParagraph"/>
        <w:numPr>
          <w:ilvl w:val="0"/>
          <w:numId w:val="8"/>
        </w:numPr>
        <w:ind w:left="0" w:firstLine="0"/>
      </w:pPr>
      <w:r>
        <w:t>Obama is the 44</w:t>
      </w:r>
      <w:r w:rsidRPr="00DC2D00">
        <w:rPr>
          <w:vertAlign w:val="superscript"/>
        </w:rPr>
        <w:t>th</w:t>
      </w:r>
      <w:r>
        <w:t xml:space="preserve"> President.  He might not have been the 44</w:t>
      </w:r>
      <w:r w:rsidRPr="00DC2D00">
        <w:rPr>
          <w:vertAlign w:val="superscript"/>
        </w:rPr>
        <w:t>th</w:t>
      </w:r>
      <w:r>
        <w:t xml:space="preserve"> President, but it is not possible that </w:t>
      </w:r>
      <w:r>
        <w:rPr>
          <w:i/>
        </w:rPr>
        <w:t>he</w:t>
      </w:r>
      <w:r>
        <w:t xml:space="preserve">, Obama, that very man, not have been (identical to) Obama.  </w:t>
      </w:r>
    </w:p>
    <w:p w:rsidR="00DC2D00" w:rsidRDefault="00DC2D00" w:rsidP="00DC2D00">
      <w:pPr>
        <w:pStyle w:val="ListParagraph"/>
        <w:ind w:left="0"/>
      </w:pPr>
      <w:r>
        <w:t>Anaphoric chains that cross in and out of modal contexts.  (Cf. “quantifying in”)</w:t>
      </w:r>
    </w:p>
    <w:p w:rsidR="00DC2D00" w:rsidRDefault="00DC2D00" w:rsidP="00DC2D00">
      <w:pPr>
        <w:pStyle w:val="ListParagraph"/>
        <w:numPr>
          <w:ilvl w:val="0"/>
          <w:numId w:val="8"/>
        </w:numPr>
        <w:ind w:left="0" w:firstLine="0"/>
      </w:pPr>
      <w:r>
        <w:t xml:space="preserve">Kaplan’s “dthat” operator as a modal rigidifier.  </w:t>
      </w:r>
    </w:p>
    <w:p w:rsidR="00DC2D00" w:rsidRDefault="00DC2D00" w:rsidP="00987C36">
      <w:pPr>
        <w:pStyle w:val="ListParagraph"/>
        <w:ind w:left="0"/>
        <w:rPr>
          <w:rFonts w:cs="Times New Roman"/>
          <w:szCs w:val="24"/>
        </w:rPr>
      </w:pPr>
      <w:r>
        <w:t>It is possible that dthat(</w:t>
      </w:r>
      <w:r w:rsidR="00987C36">
        <w:rPr>
          <w:rFonts w:cs="Times New Roman"/>
          <w:szCs w:val="24"/>
        </w:rPr>
        <w:sym w:font="Symbol" w:char="F069"/>
      </w:r>
      <w:r w:rsidR="00987C36">
        <w:rPr>
          <w:rFonts w:cs="Times New Roman"/>
          <w:szCs w:val="24"/>
        </w:rPr>
        <w:t>xDx</w:t>
      </w:r>
      <w:r w:rsidR="00987C36">
        <w:rPr>
          <w:rFonts w:cs="Times New Roman"/>
          <w:szCs w:val="24"/>
        </w:rPr>
        <w:t xml:space="preserve">) </w:t>
      </w:r>
      <w:r w:rsidR="00987C36">
        <w:rPr>
          <w:rFonts w:cs="Times New Roman"/>
          <w:szCs w:val="24"/>
        </w:rPr>
        <w:sym w:font="Symbol" w:char="F0B9"/>
      </w:r>
      <w:r w:rsidR="00987C36">
        <w:rPr>
          <w:rFonts w:cs="Times New Roman"/>
          <w:szCs w:val="24"/>
        </w:rPr>
        <w:t xml:space="preserve"> </w:t>
      </w:r>
      <w:r w:rsidR="00987C36">
        <w:rPr>
          <w:rFonts w:cs="Times New Roman"/>
          <w:szCs w:val="24"/>
        </w:rPr>
        <w:sym w:font="Symbol" w:char="F069"/>
      </w:r>
      <w:r w:rsidR="00987C36">
        <w:rPr>
          <w:rFonts w:cs="Times New Roman"/>
          <w:szCs w:val="24"/>
        </w:rPr>
        <w:t>xDx</w:t>
      </w:r>
      <w:r w:rsidR="00987C36">
        <w:rPr>
          <w:rFonts w:cs="Times New Roman"/>
          <w:szCs w:val="24"/>
        </w:rPr>
        <w:t>.</w:t>
      </w:r>
    </w:p>
    <w:p w:rsidR="00D931C8" w:rsidRDefault="00987C36" w:rsidP="005A66B4">
      <w:pPr>
        <w:pStyle w:val="ListParagraph"/>
        <w:ind w:left="0"/>
      </w:pPr>
      <w:r>
        <w:rPr>
          <w:rFonts w:cs="Times New Roman"/>
          <w:szCs w:val="24"/>
        </w:rPr>
        <w:t xml:space="preserve">“dthat” forms anaphoric dependents of anaphorically intitiating tokenings of the type it is applied to. </w:t>
      </w:r>
    </w:p>
    <w:p w:rsidR="00AB557F" w:rsidRDefault="00AB557F" w:rsidP="001429A6">
      <w:pPr>
        <w:pStyle w:val="ListParagraph"/>
        <w:ind w:left="0"/>
      </w:pPr>
    </w:p>
    <w:p w:rsidR="00D931C8" w:rsidRDefault="0036641D" w:rsidP="00CA3657">
      <w:pPr>
        <w:pStyle w:val="ListParagraph"/>
        <w:numPr>
          <w:ilvl w:val="0"/>
          <w:numId w:val="2"/>
        </w:numPr>
        <w:ind w:left="0" w:firstLine="0"/>
      </w:pPr>
      <w:r w:rsidRPr="00B03EA3">
        <w:rPr>
          <w:u w:val="single"/>
        </w:rPr>
        <w:t>The “essential indexical” argument</w:t>
      </w:r>
      <w:r>
        <w:t xml:space="preserve"> </w:t>
      </w:r>
      <w:r w:rsidR="00AB557F">
        <w:t xml:space="preserve">turns on non-intersubstitutability of indexicals with any non-indexical expressions in epistemic modal contexts.  Indexicals are shown to play a unique </w:t>
      </w:r>
      <w:r w:rsidR="00AB557F">
        <w:rPr>
          <w:i/>
        </w:rPr>
        <w:t>epistemic</w:t>
      </w:r>
      <w:r w:rsidR="00AB557F">
        <w:t xml:space="preserve"> and </w:t>
      </w:r>
      <w:r w:rsidR="00AB557F">
        <w:rPr>
          <w:i/>
        </w:rPr>
        <w:t>motivational</w:t>
      </w:r>
      <w:r w:rsidR="00AB557F">
        <w:t xml:space="preserve"> role.</w:t>
      </w:r>
    </w:p>
    <w:p w:rsidR="00DC2D00" w:rsidRDefault="00F5080E" w:rsidP="00DC2D00">
      <w:pPr>
        <w:pStyle w:val="ListParagraph"/>
        <w:numPr>
          <w:ilvl w:val="0"/>
          <w:numId w:val="7"/>
        </w:numPr>
        <w:ind w:left="0" w:firstLine="0"/>
      </w:pPr>
      <w:r>
        <w:t>Kaplan: “I am making a mess on the grocery floor.”  “I am about to be eaten by a bear.”</w:t>
      </w:r>
    </w:p>
    <w:p w:rsidR="00F5080E" w:rsidRDefault="00F5080E" w:rsidP="00F5080E">
      <w:pPr>
        <w:pStyle w:val="ListParagraph"/>
        <w:ind w:left="0"/>
      </w:pPr>
      <w:r>
        <w:t>Anscombe: immunity from errors of mis-identification, and non-observational knowledge of our own doings.</w:t>
      </w:r>
    </w:p>
    <w:p w:rsidR="00DC2D00" w:rsidRDefault="00F5080E" w:rsidP="00DC2D00">
      <w:pPr>
        <w:pStyle w:val="ListParagraph"/>
        <w:numPr>
          <w:ilvl w:val="0"/>
          <w:numId w:val="7"/>
        </w:numPr>
        <w:ind w:left="0" w:firstLine="0"/>
      </w:pPr>
      <w:r>
        <w:t>Anscombe’s ‘A’ language.</w:t>
      </w:r>
    </w:p>
    <w:p w:rsidR="00AB557F" w:rsidRDefault="00F5080E" w:rsidP="00DC2D00">
      <w:pPr>
        <w:pStyle w:val="ListParagraph"/>
        <w:numPr>
          <w:ilvl w:val="0"/>
          <w:numId w:val="7"/>
        </w:numPr>
        <w:ind w:left="0" w:firstLine="0"/>
      </w:pPr>
      <w:r>
        <w:t>Building an ‘I’ analog from Anscombe’s ‘A’, in stages.</w:t>
      </w:r>
    </w:p>
    <w:p w:rsidR="00AB557F" w:rsidRPr="002E764B" w:rsidRDefault="00AB557F" w:rsidP="00AB557F">
      <w:pPr>
        <w:pStyle w:val="ListParagraph"/>
        <w:ind w:left="0"/>
      </w:pPr>
    </w:p>
    <w:sectPr w:rsidR="00AB557F" w:rsidRPr="002E76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18" w:rsidRDefault="00F46518" w:rsidP="00152C76">
      <w:pPr>
        <w:spacing w:line="240" w:lineRule="auto"/>
      </w:pPr>
      <w:r>
        <w:separator/>
      </w:r>
    </w:p>
  </w:endnote>
  <w:endnote w:type="continuationSeparator" w:id="0">
    <w:p w:rsidR="00F46518" w:rsidRDefault="00F46518" w:rsidP="00152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6109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52C76" w:rsidRPr="00152C76" w:rsidRDefault="00152C76">
        <w:pPr>
          <w:pStyle w:val="Footer"/>
          <w:jc w:val="center"/>
          <w:rPr>
            <w:sz w:val="20"/>
            <w:szCs w:val="20"/>
          </w:rPr>
        </w:pPr>
        <w:r w:rsidRPr="00152C76">
          <w:rPr>
            <w:sz w:val="20"/>
            <w:szCs w:val="20"/>
          </w:rPr>
          <w:fldChar w:fldCharType="begin"/>
        </w:r>
        <w:r w:rsidRPr="00152C76">
          <w:rPr>
            <w:sz w:val="20"/>
            <w:szCs w:val="20"/>
          </w:rPr>
          <w:instrText xml:space="preserve"> PAGE   \* MERGEFORMAT </w:instrText>
        </w:r>
        <w:r w:rsidRPr="00152C76">
          <w:rPr>
            <w:sz w:val="20"/>
            <w:szCs w:val="20"/>
          </w:rPr>
          <w:fldChar w:fldCharType="separate"/>
        </w:r>
        <w:r w:rsidR="003D1EEE">
          <w:rPr>
            <w:noProof/>
            <w:sz w:val="20"/>
            <w:szCs w:val="20"/>
          </w:rPr>
          <w:t>2</w:t>
        </w:r>
        <w:r w:rsidRPr="00152C76">
          <w:rPr>
            <w:noProof/>
            <w:sz w:val="20"/>
            <w:szCs w:val="20"/>
          </w:rPr>
          <w:fldChar w:fldCharType="end"/>
        </w:r>
      </w:p>
    </w:sdtContent>
  </w:sdt>
  <w:p w:rsidR="00152C76" w:rsidRDefault="00152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18" w:rsidRDefault="00F46518" w:rsidP="00152C76">
      <w:pPr>
        <w:spacing w:line="240" w:lineRule="auto"/>
      </w:pPr>
      <w:r>
        <w:separator/>
      </w:r>
    </w:p>
  </w:footnote>
  <w:footnote w:type="continuationSeparator" w:id="0">
    <w:p w:rsidR="00F46518" w:rsidRDefault="00F46518" w:rsidP="00152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6" w:rsidRPr="00152C76" w:rsidRDefault="00152C76">
    <w:pPr>
      <w:pStyle w:val="Header"/>
      <w:rPr>
        <w:sz w:val="20"/>
        <w:szCs w:val="20"/>
      </w:rPr>
    </w:pPr>
    <w:r w:rsidRPr="00152C76">
      <w:rPr>
        <w:sz w:val="20"/>
        <w:szCs w:val="20"/>
      </w:rPr>
      <w:tab/>
    </w:r>
    <w:r w:rsidRPr="00152C76">
      <w:rPr>
        <w:sz w:val="20"/>
        <w:szCs w:val="20"/>
      </w:rPr>
      <w:tab/>
      <w:t>Brandom</w:t>
    </w:r>
  </w:p>
  <w:p w:rsidR="00152C76" w:rsidRDefault="00152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AAB"/>
    <w:multiLevelType w:val="hybridMultilevel"/>
    <w:tmpl w:val="F8848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6D8"/>
    <w:multiLevelType w:val="hybridMultilevel"/>
    <w:tmpl w:val="93DC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A1"/>
    <w:multiLevelType w:val="hybridMultilevel"/>
    <w:tmpl w:val="0F800636"/>
    <w:lvl w:ilvl="0" w:tplc="1C961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60E13"/>
    <w:multiLevelType w:val="hybridMultilevel"/>
    <w:tmpl w:val="48CAF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72B"/>
    <w:multiLevelType w:val="hybridMultilevel"/>
    <w:tmpl w:val="AAA4F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45B36"/>
    <w:multiLevelType w:val="hybridMultilevel"/>
    <w:tmpl w:val="8D98A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21D8"/>
    <w:multiLevelType w:val="hybridMultilevel"/>
    <w:tmpl w:val="FCE699E6"/>
    <w:lvl w:ilvl="0" w:tplc="8182C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133A0"/>
    <w:multiLevelType w:val="hybridMultilevel"/>
    <w:tmpl w:val="D94A7D62"/>
    <w:lvl w:ilvl="0" w:tplc="D282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76"/>
    <w:rsid w:val="0005150A"/>
    <w:rsid w:val="000A194A"/>
    <w:rsid w:val="000B6D14"/>
    <w:rsid w:val="000F585E"/>
    <w:rsid w:val="001429A6"/>
    <w:rsid w:val="00152C76"/>
    <w:rsid w:val="001D34B7"/>
    <w:rsid w:val="002179E5"/>
    <w:rsid w:val="00245749"/>
    <w:rsid w:val="002A4FC6"/>
    <w:rsid w:val="002E764B"/>
    <w:rsid w:val="0036641D"/>
    <w:rsid w:val="003A0D75"/>
    <w:rsid w:val="003D1EEE"/>
    <w:rsid w:val="004B258D"/>
    <w:rsid w:val="0058128B"/>
    <w:rsid w:val="005A66B4"/>
    <w:rsid w:val="005E15C8"/>
    <w:rsid w:val="00620465"/>
    <w:rsid w:val="00697FA3"/>
    <w:rsid w:val="006A4B6A"/>
    <w:rsid w:val="00755F32"/>
    <w:rsid w:val="0077285A"/>
    <w:rsid w:val="0084023B"/>
    <w:rsid w:val="00881ACF"/>
    <w:rsid w:val="008D225B"/>
    <w:rsid w:val="00965D7B"/>
    <w:rsid w:val="00971E51"/>
    <w:rsid w:val="00987C36"/>
    <w:rsid w:val="00A06AE0"/>
    <w:rsid w:val="00AA07B6"/>
    <w:rsid w:val="00AB557F"/>
    <w:rsid w:val="00B03EA3"/>
    <w:rsid w:val="00BB4CE2"/>
    <w:rsid w:val="00BD6A7C"/>
    <w:rsid w:val="00D931C8"/>
    <w:rsid w:val="00D9597E"/>
    <w:rsid w:val="00DC2D00"/>
    <w:rsid w:val="00DE45AC"/>
    <w:rsid w:val="00E00D30"/>
    <w:rsid w:val="00E47D91"/>
    <w:rsid w:val="00ED0EFE"/>
    <w:rsid w:val="00F105FA"/>
    <w:rsid w:val="00F46518"/>
    <w:rsid w:val="00F5080E"/>
    <w:rsid w:val="00F66E12"/>
    <w:rsid w:val="00F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E03A"/>
  <w15:chartTrackingRefBased/>
  <w15:docId w15:val="{7F8DD9A1-9B00-4BF9-8EE0-C952B5F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4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link w:val="NumberedChar"/>
    <w:qFormat/>
    <w:rsid w:val="000F585E"/>
    <w:pPr>
      <w:numPr>
        <w:numId w:val="1"/>
      </w:numPr>
      <w:spacing w:line="276" w:lineRule="auto"/>
      <w:ind w:left="0" w:firstLine="0"/>
      <w:contextualSpacing/>
    </w:pPr>
  </w:style>
  <w:style w:type="character" w:customStyle="1" w:styleId="NumberedChar">
    <w:name w:val="Numbered Char"/>
    <w:basedOn w:val="DefaultParagraphFont"/>
    <w:link w:val="Numbered"/>
    <w:rsid w:val="000F585E"/>
    <w:rPr>
      <w:rFonts w:ascii="Times New Roman" w:hAnsi="Times New Roman"/>
      <w:sz w:val="24"/>
    </w:rPr>
  </w:style>
  <w:style w:type="paragraph" w:customStyle="1" w:styleId="Numbered1">
    <w:name w:val="Numbered1"/>
    <w:basedOn w:val="ListParagraph"/>
    <w:link w:val="Numbered1Char"/>
    <w:autoRedefine/>
    <w:qFormat/>
    <w:rsid w:val="000F585E"/>
    <w:pPr>
      <w:spacing w:line="276" w:lineRule="auto"/>
      <w:ind w:left="0"/>
    </w:pPr>
    <w:rPr>
      <w:rFonts w:cs="Times New Roman"/>
      <w:szCs w:val="24"/>
    </w:rPr>
  </w:style>
  <w:style w:type="character" w:customStyle="1" w:styleId="Numbered1Char">
    <w:name w:val="Numbered1 Char"/>
    <w:basedOn w:val="DefaultParagraphFont"/>
    <w:link w:val="Numbered1"/>
    <w:rsid w:val="000F585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2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7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1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52"/>
    <w:rsid w:val="00627D2D"/>
    <w:rsid w:val="00F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8F3CC061EC4175BCF180816E10D523">
    <w:name w:val="378F3CC061EC4175BCF180816E10D523"/>
    <w:rsid w:val="00F05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Brandom, Robert</dc:creator>
  <cp:keywords/>
  <dc:description/>
  <cp:lastModifiedBy>Brandom, Robert</cp:lastModifiedBy>
  <cp:revision>7</cp:revision>
  <dcterms:created xsi:type="dcterms:W3CDTF">2018-10-31T15:38:00Z</dcterms:created>
  <dcterms:modified xsi:type="dcterms:W3CDTF">2018-10-31T15:42:00Z</dcterms:modified>
</cp:coreProperties>
</file>